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277AD" w14:textId="0CA477E6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7E4342">
        <w:rPr>
          <w:rFonts w:ascii="Calibri" w:hAnsi="Calibri" w:cs="Calibri"/>
          <w:b/>
          <w:caps/>
          <w:sz w:val="24"/>
          <w:szCs w:val="24"/>
        </w:rPr>
        <w:t>05</w:t>
      </w:r>
      <w:r w:rsidR="00D959E2">
        <w:rPr>
          <w:rFonts w:ascii="Calibri" w:hAnsi="Calibri" w:cs="Calibri"/>
          <w:b/>
          <w:caps/>
          <w:sz w:val="24"/>
          <w:szCs w:val="24"/>
        </w:rPr>
        <w:t>4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D959E2">
        <w:rPr>
          <w:rFonts w:ascii="Calibri" w:hAnsi="Calibri" w:cs="Calibri"/>
          <w:b/>
          <w:caps/>
          <w:color w:val="000000" w:themeColor="text1"/>
          <w:sz w:val="24"/>
          <w:szCs w:val="24"/>
        </w:rPr>
        <w:t>31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>20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23</w:t>
      </w:r>
    </w:p>
    <w:p w14:paraId="06A5EF42" w14:textId="65FBE5CF" w:rsidR="000F1621" w:rsidRPr="00B72EA2" w:rsidRDefault="00D959E2" w:rsidP="007E434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D959E2">
        <w:rPr>
          <w:rFonts w:ascii="Calibri" w:hAnsi="Calibri" w:cs="Calibri"/>
          <w:bCs/>
          <w:sz w:val="24"/>
          <w:szCs w:val="24"/>
        </w:rPr>
        <w:t>PROCESSO SELETIVO PARA DISCENTES PARA O PROGRAMA DE PÓS-GRADUAÇÃO STRICTO SENSU MESTRADO PROFISSIONAL EM ENSINO DE CIÊNCIAS E MATEMÁTICA</w:t>
      </w:r>
      <w:r w:rsidR="002A2D82">
        <w:rPr>
          <w:rFonts w:ascii="Calibri" w:hAnsi="Calibri" w:cs="Calibri"/>
          <w:bCs/>
          <w:sz w:val="24"/>
          <w:szCs w:val="24"/>
        </w:rPr>
        <w:t xml:space="preserve"> </w:t>
      </w:r>
    </w:p>
    <w:p w14:paraId="5B70CD4A" w14:textId="77777777" w:rsidR="00D959E2" w:rsidRPr="00B72EA2" w:rsidRDefault="00D959E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627394B3" w:rsidR="00691A93" w:rsidRPr="00B72EA2" w:rsidRDefault="00D959E2" w:rsidP="00D959E2">
      <w:pPr>
        <w:spacing w:after="0" w:line="240" w:lineRule="auto"/>
        <w:ind w:right="7" w:hanging="436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FC5EEE">
        <w:rPr>
          <w:rFonts w:ascii="Calibri" w:hAnsi="Calibri" w:cs="Calibri"/>
          <w:b/>
          <w:caps/>
          <w:sz w:val="24"/>
          <w:szCs w:val="24"/>
        </w:rPr>
        <w:t>X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3840C042" w14:textId="2E421B22" w:rsidR="00FC5EEE" w:rsidRPr="00FC5EEE" w:rsidRDefault="00D959E2" w:rsidP="00D959E2">
      <w:pPr>
        <w:spacing w:after="0" w:line="240" w:lineRule="auto"/>
        <w:ind w:left="0" w:right="2" w:firstLine="155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</w:t>
      </w:r>
      <w:r w:rsidRPr="00D959E2">
        <w:rPr>
          <w:rFonts w:ascii="Calibri" w:hAnsi="Calibri" w:cs="Calibri"/>
          <w:bCs/>
          <w:sz w:val="24"/>
          <w:szCs w:val="24"/>
        </w:rPr>
        <w:t>ARTIGOS DE REFERÊNCIA PARA A ETAPA I - PROVA ESCRITA</w:t>
      </w:r>
    </w:p>
    <w:p w14:paraId="677E24B8" w14:textId="517D4BA3" w:rsidR="00850552" w:rsidRPr="00FC5EEE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16425354" w14:textId="059207EB" w:rsidR="00D959E2" w:rsidRPr="00D959E2" w:rsidRDefault="00D959E2" w:rsidP="00D959E2">
      <w:pPr>
        <w:spacing w:after="0" w:line="240" w:lineRule="auto"/>
        <w:ind w:left="0" w:right="0" w:firstLine="0"/>
        <w:rPr>
          <w:rFonts w:ascii="Calibri" w:eastAsia="Calibri" w:hAnsi="Calibri" w:cs="Calibri"/>
          <w:color w:val="auto"/>
          <w:sz w:val="24"/>
          <w:szCs w:val="24"/>
          <w:lang w:val="pt-PT"/>
        </w:rPr>
      </w:pPr>
      <w:r w:rsidRPr="00D959E2">
        <w:rPr>
          <w:rFonts w:ascii="Calibri" w:eastAsia="Calibri" w:hAnsi="Calibri" w:cs="Calibri"/>
          <w:color w:val="auto"/>
          <w:sz w:val="24"/>
          <w:szCs w:val="24"/>
          <w:lang w:val="pt-PT"/>
        </w:rPr>
        <w:t>A Prova Escrita que compõe a Etapa I deste processo seletivo versará sobre o conteúdo dos artigos de referência listados abaixo. Cabe ao</w:t>
      </w:r>
      <w:r w:rsidR="002A2D82">
        <w:rPr>
          <w:rFonts w:ascii="Calibri" w:eastAsia="Calibri" w:hAnsi="Calibri" w:cs="Calibri"/>
          <w:color w:val="auto"/>
          <w:sz w:val="24"/>
          <w:szCs w:val="24"/>
          <w:lang w:val="pt-PT"/>
        </w:rPr>
        <w:t>(à)</w:t>
      </w:r>
      <w:r w:rsidRPr="00D959E2">
        <w:rPr>
          <w:rFonts w:ascii="Calibri" w:eastAsia="Calibri" w:hAnsi="Calibri" w:cs="Calibri"/>
          <w:color w:val="auto"/>
          <w:sz w:val="24"/>
          <w:szCs w:val="24"/>
          <w:lang w:val="pt-PT"/>
        </w:rPr>
        <w:t xml:space="preserve"> candidato</w:t>
      </w:r>
      <w:r w:rsidR="002A2D82">
        <w:rPr>
          <w:rFonts w:ascii="Calibri" w:eastAsia="Calibri" w:hAnsi="Calibri" w:cs="Calibri"/>
          <w:color w:val="auto"/>
          <w:sz w:val="24"/>
          <w:szCs w:val="24"/>
          <w:lang w:val="pt-PT"/>
        </w:rPr>
        <w:t>(a)</w:t>
      </w:r>
      <w:r w:rsidRPr="00D959E2">
        <w:rPr>
          <w:rFonts w:ascii="Calibri" w:eastAsia="Calibri" w:hAnsi="Calibri" w:cs="Calibri"/>
          <w:color w:val="auto"/>
          <w:sz w:val="24"/>
          <w:szCs w:val="24"/>
          <w:lang w:val="pt-PT"/>
        </w:rPr>
        <w:t xml:space="preserve"> atentar-se às referências que correspondem à linha de pesquisa escolhida no ato da inscrição. </w:t>
      </w:r>
    </w:p>
    <w:p w14:paraId="09836E4C" w14:textId="77777777" w:rsidR="00D959E2" w:rsidRPr="00D959E2" w:rsidRDefault="00D959E2" w:rsidP="00D959E2">
      <w:pPr>
        <w:spacing w:after="0" w:line="240" w:lineRule="auto"/>
        <w:ind w:left="0" w:right="0" w:firstLine="0"/>
        <w:rPr>
          <w:rFonts w:ascii="Calibri" w:eastAsia="Calibri" w:hAnsi="Calibri" w:cs="Calibri"/>
          <w:color w:val="auto"/>
          <w:sz w:val="24"/>
          <w:szCs w:val="24"/>
          <w:lang w:val="pt-PT"/>
        </w:rPr>
      </w:pPr>
      <w:r w:rsidRPr="00D959E2">
        <w:rPr>
          <w:rFonts w:ascii="Calibri" w:eastAsia="Calibri" w:hAnsi="Calibri" w:cs="Calibri"/>
          <w:color w:val="auto"/>
          <w:sz w:val="24"/>
          <w:szCs w:val="24"/>
          <w:lang w:val="pt-PT"/>
        </w:rPr>
        <w:t xml:space="preserve">O acesso aos artigos é disponibilizado de maneira gratuita no site das respectivas revistas científicas. Cabe ao(à) candidato(a) deste processo seletivo realizar a leitura e estudo dos artigos antes de realizar a prova da Etapa I. Não será permitida a consulta aos artigos ou a qualquer outro material de consulta durante a prova. </w:t>
      </w:r>
    </w:p>
    <w:p w14:paraId="122B169B" w14:textId="77777777" w:rsidR="00D959E2" w:rsidRPr="00D959E2" w:rsidRDefault="00D959E2" w:rsidP="00D959E2">
      <w:pPr>
        <w:spacing w:after="160" w:line="259" w:lineRule="auto"/>
        <w:ind w:left="0" w:right="0" w:firstLine="0"/>
        <w:rPr>
          <w:rFonts w:ascii="Calibri" w:eastAsia="Calibri" w:hAnsi="Calibri" w:cs="Calibri"/>
          <w:b/>
          <w:color w:val="auto"/>
          <w:sz w:val="22"/>
          <w:lang w:val="pt-PT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6"/>
      </w:tblGrid>
      <w:tr w:rsidR="00D959E2" w:rsidRPr="00D959E2" w14:paraId="473B76C8" w14:textId="77777777" w:rsidTr="00D959E2">
        <w:tc>
          <w:tcPr>
            <w:tcW w:w="2405" w:type="dxa"/>
            <w:shd w:val="clear" w:color="auto" w:fill="auto"/>
            <w:vAlign w:val="center"/>
          </w:tcPr>
          <w:p w14:paraId="1A0EE63E" w14:textId="77777777" w:rsidR="00D959E2" w:rsidRPr="00D959E2" w:rsidRDefault="00D959E2" w:rsidP="00D959E2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Linha de pesquisa</w:t>
            </w:r>
          </w:p>
        </w:tc>
        <w:tc>
          <w:tcPr>
            <w:tcW w:w="6946" w:type="dxa"/>
            <w:shd w:val="clear" w:color="auto" w:fill="auto"/>
          </w:tcPr>
          <w:p w14:paraId="48A39943" w14:textId="77777777" w:rsidR="00D959E2" w:rsidRPr="00D959E2" w:rsidRDefault="00D959E2" w:rsidP="00D959E2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Artigos de referência:</w:t>
            </w:r>
          </w:p>
        </w:tc>
      </w:tr>
      <w:tr w:rsidR="00D959E2" w:rsidRPr="00D959E2" w14:paraId="6E48D371" w14:textId="77777777" w:rsidTr="00D959E2">
        <w:tc>
          <w:tcPr>
            <w:tcW w:w="2405" w:type="dxa"/>
            <w:shd w:val="clear" w:color="auto" w:fill="auto"/>
            <w:vAlign w:val="center"/>
          </w:tcPr>
          <w:p w14:paraId="4F48AF85" w14:textId="77777777" w:rsidR="00D959E2" w:rsidRPr="00D959E2" w:rsidRDefault="00D959E2" w:rsidP="00D959E2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1. Epistemologia, Didática e Currículo no Ensino de Ciências e Matemática</w:t>
            </w:r>
          </w:p>
        </w:tc>
        <w:tc>
          <w:tcPr>
            <w:tcW w:w="6946" w:type="dxa"/>
            <w:shd w:val="clear" w:color="auto" w:fill="auto"/>
          </w:tcPr>
          <w:p w14:paraId="32826B7E" w14:textId="77777777" w:rsidR="00D959E2" w:rsidRPr="00D959E2" w:rsidRDefault="00D959E2" w:rsidP="00D959E2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Artigo 1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: FREITAS, L. C. de. Três teses sobre as reformas empresariais da educação: perdendo a ingenuidade. </w:t>
            </w: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Cad. CEDES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 36 (99) • May-Aug 2016. Disponível em: </w:t>
            </w:r>
            <w:hyperlink r:id="rId9">
              <w:r w:rsidRPr="00D959E2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pt-PT"/>
                </w:rPr>
                <w:t>https://www.scielo.br/j/ccedes/a/RmPTyx4p7KXfcQdSMkPGWFy/abstract/?lang=pt</w:t>
              </w:r>
            </w:hyperlink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>. Acesso em 16 ago. 2023.</w:t>
            </w:r>
          </w:p>
          <w:p w14:paraId="50628302" w14:textId="77777777" w:rsidR="00D959E2" w:rsidRPr="00D959E2" w:rsidRDefault="00D959E2" w:rsidP="00D959E2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Artigo 2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: GOMES, Nilma Lima. Educação e Relações Raciais: Refletindo sobre algumas Estratégias de Atuação. In: MUNANGA, Kabengele. </w:t>
            </w: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Superando o Racismo na escola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. KabengeleMunanga (org.). [Brasília]: Ministério da Educação, Secretaria de Educação Continuada, Alfabetização e Diversidade, 2005. 204p. (Capítulo de Livro em domínio público disponível em </w:t>
            </w:r>
            <w:hyperlink r:id="rId10">
              <w:r w:rsidRPr="00D959E2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pt-PT"/>
                </w:rPr>
                <w:t>http://portal.mec.gov.br/secad/arquivos/pdf/racismo_escola.pdf</w:t>
              </w:r>
            </w:hyperlink>
            <w:r w:rsidRPr="00D959E2"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  <w:lang w:val="pt-PT"/>
              </w:rPr>
              <w:t>)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>. Acesso em 21 ago 2023.</w:t>
            </w:r>
          </w:p>
        </w:tc>
      </w:tr>
      <w:tr w:rsidR="00D959E2" w:rsidRPr="00D959E2" w14:paraId="6CA1C479" w14:textId="77777777" w:rsidTr="00D959E2">
        <w:tc>
          <w:tcPr>
            <w:tcW w:w="2405" w:type="dxa"/>
            <w:shd w:val="clear" w:color="auto" w:fill="auto"/>
            <w:vAlign w:val="center"/>
          </w:tcPr>
          <w:p w14:paraId="7AE48F95" w14:textId="77777777" w:rsidR="00D959E2" w:rsidRPr="00D959E2" w:rsidRDefault="00D959E2" w:rsidP="00D959E2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2. Tecnologias da Informação e Comunicação no Ensino de Ciências e Matemática</w:t>
            </w:r>
          </w:p>
        </w:tc>
        <w:tc>
          <w:tcPr>
            <w:tcW w:w="6946" w:type="dxa"/>
            <w:shd w:val="clear" w:color="auto" w:fill="auto"/>
          </w:tcPr>
          <w:p w14:paraId="2D6538F2" w14:textId="77777777" w:rsidR="00D959E2" w:rsidRPr="00D959E2" w:rsidRDefault="00D959E2" w:rsidP="00D959E2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Artigo 1: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 VALENTE, José Armando. Tecnologias e educação a distância no ensino superior: uso de metodologias ativas na graduação. </w:t>
            </w: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Trabalho &amp; Educação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, Belo Horizonte, v. 28, n. 1, p. 97–113, 2019. Disponível em: </w:t>
            </w:r>
            <w:hyperlink r:id="rId11">
              <w:r w:rsidRPr="00D959E2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pt-PT"/>
                </w:rPr>
                <w:t>https://periodicos.ufmg.br/index.php/trabedu/issue/view/496</w:t>
              </w:r>
            </w:hyperlink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, </w:t>
            </w:r>
          </w:p>
          <w:p w14:paraId="1F467275" w14:textId="77777777" w:rsidR="00D959E2" w:rsidRPr="00D959E2" w:rsidRDefault="00D959E2" w:rsidP="00D959E2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Artigo 2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: VICARI, Rosa Maria. Influências das Tecnologias da Inteligência Artificial no ensino. </w:t>
            </w: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Estudos Avançados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, São Paulo, v. 35, n. 101, p. 73–84, 2021. Disponível em: </w:t>
            </w:r>
            <w:hyperlink r:id="rId12">
              <w:r w:rsidRPr="00D959E2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pt-PT"/>
                </w:rPr>
                <w:t>https://www.scielo.br/j/ea/a/VqyZbNzYfnCJ8s8Psft4jZf/</w:t>
              </w:r>
            </w:hyperlink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>. Acesso em 21 ago 2023.</w:t>
            </w:r>
          </w:p>
        </w:tc>
      </w:tr>
      <w:tr w:rsidR="00D959E2" w:rsidRPr="00D959E2" w14:paraId="16F19EB1" w14:textId="77777777" w:rsidTr="00D959E2">
        <w:trPr>
          <w:trHeight w:val="272"/>
        </w:trPr>
        <w:tc>
          <w:tcPr>
            <w:tcW w:w="2405" w:type="dxa"/>
            <w:shd w:val="clear" w:color="auto" w:fill="auto"/>
            <w:vAlign w:val="center"/>
          </w:tcPr>
          <w:p w14:paraId="14FB4B39" w14:textId="77777777" w:rsidR="00D959E2" w:rsidRPr="00D959E2" w:rsidRDefault="00D959E2" w:rsidP="00D959E2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3. Formação de professores para o ensino de Ciências e Matemática</w:t>
            </w:r>
          </w:p>
        </w:tc>
        <w:tc>
          <w:tcPr>
            <w:tcW w:w="6946" w:type="dxa"/>
            <w:shd w:val="clear" w:color="auto" w:fill="auto"/>
          </w:tcPr>
          <w:p w14:paraId="07818787" w14:textId="77777777" w:rsidR="00D959E2" w:rsidRPr="00D959E2" w:rsidRDefault="00D959E2" w:rsidP="00D959E2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color w:val="auto"/>
                <w:sz w:val="24"/>
                <w:szCs w:val="24"/>
                <w:highlight w:val="white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 xml:space="preserve">Artigo 1: 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BELLETATI, V. C. F.; PIMENTA, S. G.; LIMA, V. M. M. Formar professores intelectuais crítico-reflexivos nos cursos de licenciatura apesar das diretrizes nacionais: transgressões possíveis. </w:t>
            </w: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Nuances: Estudos sobre Educação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, Presidente Prudente, v. 32, n. 00, p. e021026, 2021. DOI: 10.32930/nuances.v32i00.8706. Disponível em: </w:t>
            </w:r>
            <w:hyperlink r:id="rId13">
              <w:r w:rsidRPr="00D959E2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pt-PT"/>
                </w:rPr>
                <w:t>https://revista.fct.unesp.br/index.php/Nuances/article/view/8706</w:t>
              </w:r>
            </w:hyperlink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>. Acesso em: 16 ago. 2023.</w:t>
            </w:r>
          </w:p>
          <w:p w14:paraId="0F38F3E7" w14:textId="77777777" w:rsidR="00D959E2" w:rsidRPr="00D959E2" w:rsidRDefault="00D959E2" w:rsidP="00D959E2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</w:pP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lastRenderedPageBreak/>
              <w:t xml:space="preserve">Artigo 2: 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SOUSA, Lizandra Sodré; CARVALHO, Herli de Sousa; SILVEIRA, Francisca Morais. Formação docente na perspectiva da educação antirracista como prática social. </w:t>
            </w:r>
            <w:r w:rsidRPr="00D959E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lang w:val="pt-PT"/>
              </w:rPr>
              <w:t>Práxis Educativa</w:t>
            </w:r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 xml:space="preserve">, [S. l.], v. 17, p. 1–16, 2022. DOI: 10.5212/PraxEduc.v.17.19366.039. Disponível em: </w:t>
            </w:r>
            <w:hyperlink r:id="rId14">
              <w:r w:rsidRPr="00D959E2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pt-PT"/>
                </w:rPr>
                <w:t>https://revistas.uepg.br/index.php/praxiseducativa/article/view/19366</w:t>
              </w:r>
            </w:hyperlink>
            <w:r w:rsidRPr="00D959E2">
              <w:rPr>
                <w:rFonts w:ascii="Calibri" w:eastAsia="Calibri" w:hAnsi="Calibri" w:cs="Calibri"/>
                <w:color w:val="auto"/>
                <w:sz w:val="24"/>
                <w:szCs w:val="24"/>
                <w:lang w:val="pt-PT"/>
              </w:rPr>
              <w:t>. Acesso em: 11 ago. 2023.</w:t>
            </w:r>
          </w:p>
        </w:tc>
      </w:tr>
    </w:tbl>
    <w:p w14:paraId="4E61A180" w14:textId="77777777" w:rsidR="00D959E2" w:rsidRPr="00D959E2" w:rsidRDefault="00D959E2" w:rsidP="00D959E2">
      <w:pPr>
        <w:spacing w:after="0" w:line="264" w:lineRule="auto"/>
        <w:ind w:left="0" w:right="0" w:firstLine="0"/>
        <w:rPr>
          <w:rFonts w:ascii="Calibri" w:eastAsia="Calibri" w:hAnsi="Calibri" w:cs="Calibri"/>
          <w:color w:val="FF0000"/>
          <w:sz w:val="24"/>
          <w:szCs w:val="24"/>
          <w:lang w:val="pt-PT"/>
        </w:rPr>
      </w:pPr>
    </w:p>
    <w:p w14:paraId="127D83FE" w14:textId="77777777" w:rsidR="00D959E2" w:rsidRPr="00D959E2" w:rsidRDefault="00D959E2" w:rsidP="00D959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after="0" w:line="240" w:lineRule="auto"/>
        <w:ind w:left="1089" w:right="1247" w:firstLine="0"/>
        <w:jc w:val="center"/>
        <w:rPr>
          <w:rFonts w:ascii="Calibri" w:eastAsia="Calibri" w:hAnsi="Calibri" w:cs="Calibri"/>
          <w:b/>
          <w:color w:val="auto"/>
          <w:sz w:val="12"/>
          <w:szCs w:val="12"/>
          <w:lang w:val="pt-PT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sectPr w:rsidR="001578C8" w:rsidRPr="00B72EA2" w:rsidSect="00BF1884">
      <w:headerReference w:type="default" r:id="rId15"/>
      <w:footerReference w:type="default" r:id="rId16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1D88" w14:textId="77777777" w:rsidR="00216AC4" w:rsidRDefault="00216AC4" w:rsidP="004254E3">
      <w:pPr>
        <w:spacing w:after="0" w:line="240" w:lineRule="auto"/>
      </w:pPr>
      <w:r>
        <w:separator/>
      </w:r>
    </w:p>
  </w:endnote>
  <w:endnote w:type="continuationSeparator" w:id="0">
    <w:p w14:paraId="48A73B79" w14:textId="77777777" w:rsidR="00216AC4" w:rsidRDefault="00216AC4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5E94863F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ANEXO I</w:t>
    </w:r>
    <w:r w:rsidR="00921098">
      <w:rPr>
        <w:rFonts w:ascii="Calibri" w:hAnsi="Calibri" w:cs="Calibri"/>
        <w:bCs/>
        <w:sz w:val="20"/>
        <w:szCs w:val="20"/>
      </w:rPr>
      <w:t>X</w:t>
    </w:r>
    <w:r>
      <w:rPr>
        <w:rFonts w:ascii="Calibri" w:hAnsi="Calibri" w:cs="Calibri"/>
        <w:bCs/>
        <w:sz w:val="20"/>
        <w:szCs w:val="20"/>
      </w:rPr>
      <w:t xml:space="preserve">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921098">
      <w:rPr>
        <w:rFonts w:ascii="Calibri" w:hAnsi="Calibri" w:cs="Calibri"/>
        <w:bCs/>
        <w:sz w:val="20"/>
        <w:szCs w:val="20"/>
      </w:rPr>
      <w:t>054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921098">
      <w:rPr>
        <w:rFonts w:ascii="Calibri" w:hAnsi="Calibri" w:cs="Calibri"/>
        <w:bCs/>
        <w:sz w:val="20"/>
        <w:szCs w:val="20"/>
      </w:rPr>
      <w:t>31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921098">
      <w:rPr>
        <w:rFonts w:ascii="Calibri" w:hAnsi="Calibri" w:cs="Calibri"/>
        <w:bCs/>
        <w:sz w:val="20"/>
        <w:szCs w:val="20"/>
      </w:rPr>
      <w:t>AGOSTO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</w:t>
    </w:r>
    <w:r w:rsidR="00921098">
      <w:rPr>
        <w:rFonts w:ascii="Calibri" w:hAnsi="Calibri" w:cs="Calibri"/>
        <w:bCs/>
        <w:sz w:val="20"/>
        <w:szCs w:val="20"/>
      </w:rPr>
      <w:t>23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6F95" w14:textId="77777777" w:rsidR="00216AC4" w:rsidRDefault="00216AC4" w:rsidP="004254E3">
      <w:pPr>
        <w:spacing w:after="0" w:line="240" w:lineRule="auto"/>
      </w:pPr>
      <w:r>
        <w:separator/>
      </w:r>
    </w:p>
  </w:footnote>
  <w:footnote w:type="continuationSeparator" w:id="0">
    <w:p w14:paraId="2C0BE672" w14:textId="77777777" w:rsidR="00216AC4" w:rsidRDefault="00216AC4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16AC4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2D82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DE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1098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6F1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59E2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C5EEE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  <w:style w:type="character" w:styleId="MenoPendente">
    <w:name w:val="Unresolved Mention"/>
    <w:basedOn w:val="Fontepargpadro"/>
    <w:uiPriority w:val="99"/>
    <w:semiHidden/>
    <w:unhideWhenUsed/>
    <w:rsid w:val="00D95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vista.fct.unesp.br/index.php/Nuances/article/view/87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lo.br/j/ea/a/VqyZbNzYfnCJ8s8Psft4jZ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iodicos.ufmg.br/index.php/trabedu/issue/view/4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rtal.mec.gov.br/secad/arquivos/pdf/racismo_escol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lo.br/j/ccedes/a/RmPTyx4p7KXfcQdSMkPGWFy/abstract/?lang=pt" TargetMode="External"/><Relationship Id="rId14" Type="http://schemas.openxmlformats.org/officeDocument/2006/relationships/hyperlink" Target="https://revistas.uepg.br/index.php/praxiseducativa/article/view/1936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11</cp:revision>
  <cp:lastPrinted>2023-03-31T20:36:00Z</cp:lastPrinted>
  <dcterms:created xsi:type="dcterms:W3CDTF">2023-03-31T20:41:00Z</dcterms:created>
  <dcterms:modified xsi:type="dcterms:W3CDTF">2023-09-02T11:49:00Z</dcterms:modified>
</cp:coreProperties>
</file>