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7091B" w14:textId="55EE1A13" w:rsidR="001A40ED" w:rsidRPr="001A40ED" w:rsidRDefault="0090099F" w:rsidP="001A40ED">
      <w:pPr>
        <w:spacing w:after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0ED" w:rsidRPr="001A40ED">
        <w:rPr>
          <w:rFonts w:ascii="Calibri" w:hAnsi="Calibri" w:cs="Calibri"/>
          <w:b/>
          <w:bCs/>
          <w:sz w:val="24"/>
          <w:szCs w:val="24"/>
        </w:rPr>
        <w:t>EDITAL Nº SPO.073, DE 25 DE OUTUBRO DE 2023</w:t>
      </w:r>
    </w:p>
    <w:p w14:paraId="03C55596" w14:textId="77777777" w:rsidR="001A40ED" w:rsidRPr="001A40ED" w:rsidRDefault="001A40ED" w:rsidP="001A40ED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1A40ED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1A40ED">
        <w:rPr>
          <w:rFonts w:ascii="Calibri" w:hAnsi="Calibri" w:cs="Calibri"/>
          <w:bCs/>
          <w:i/>
          <w:iCs/>
          <w:sz w:val="24"/>
          <w:szCs w:val="24"/>
        </w:rPr>
        <w:t>LATO SENSU</w:t>
      </w:r>
      <w:r w:rsidRPr="001A40ED">
        <w:rPr>
          <w:rFonts w:ascii="Calibri" w:hAnsi="Calibri" w:cs="Calibri"/>
          <w:bCs/>
          <w:sz w:val="24"/>
          <w:szCs w:val="24"/>
        </w:rPr>
        <w:t xml:space="preserve"> </w:t>
      </w:r>
    </w:p>
    <w:p w14:paraId="447109DF" w14:textId="77777777" w:rsidR="001A40ED" w:rsidRPr="001A40ED" w:rsidRDefault="001A40ED" w:rsidP="001A40ED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1A40ED">
        <w:rPr>
          <w:rFonts w:ascii="Calibri" w:hAnsi="Calibri" w:cs="Calibri"/>
          <w:bCs/>
          <w:sz w:val="24"/>
          <w:szCs w:val="24"/>
        </w:rPr>
        <w:t>ESPECIALIZAÇÃO EM EDUCAÇÃO PROFISSIONAL INTEGRADA À EDUCAÇÃO BÁSICA NA MODALIDADE DE EDUCAÇÃO DE JOVENS E ADULTOS</w:t>
      </w:r>
    </w:p>
    <w:p w14:paraId="26D86E6D" w14:textId="0D287D19" w:rsidR="000F1621" w:rsidRPr="00B72EA2" w:rsidRDefault="000F1621" w:rsidP="00E22BA4">
      <w:pPr>
        <w:spacing w:after="0" w:line="240" w:lineRule="auto"/>
        <w:ind w:left="0" w:right="7" w:firstLine="0"/>
        <w:contextualSpacing/>
        <w:rPr>
          <w:rFonts w:ascii="Calibri" w:hAnsi="Calibri" w:cs="Calibri"/>
          <w:bCs/>
          <w:caps/>
          <w:sz w:val="24"/>
          <w:szCs w:val="24"/>
        </w:rPr>
      </w:pPr>
      <w:bookmarkStart w:id="0" w:name="_GoBack"/>
      <w:bookmarkEnd w:id="0"/>
    </w:p>
    <w:p w14:paraId="679A6DDC" w14:textId="04FEA65C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FC5EEE">
        <w:rPr>
          <w:rFonts w:ascii="Calibri" w:hAnsi="Calibri" w:cs="Calibri"/>
          <w:b/>
          <w:caps/>
          <w:sz w:val="24"/>
          <w:szCs w:val="24"/>
        </w:rPr>
        <w:t>X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3840C042" w14:textId="2F5DE50E" w:rsidR="00FC5EEE" w:rsidRPr="00FC5EEE" w:rsidRDefault="00FC5EEE" w:rsidP="00FC5EEE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FC5EEE">
        <w:rPr>
          <w:rFonts w:ascii="Calibri" w:hAnsi="Calibri" w:cs="Calibri"/>
          <w:bCs/>
          <w:sz w:val="24"/>
          <w:szCs w:val="24"/>
        </w:rPr>
        <w:t>BIBLIOGRAFIA PARA A PROVA ESCRITA</w:t>
      </w:r>
    </w:p>
    <w:p w14:paraId="677E24B8" w14:textId="517D4BA3" w:rsidR="00850552" w:rsidRPr="00FC5EEE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151AEA1E" w14:textId="76BA3084" w:rsidR="007F437A" w:rsidRPr="007F437A" w:rsidRDefault="007F437A" w:rsidP="007F437A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37A">
        <w:rPr>
          <w:rFonts w:asciiTheme="minorHAnsi" w:hAnsiTheme="minorHAnsi" w:cstheme="minorHAnsi"/>
          <w:b/>
          <w:bCs/>
          <w:sz w:val="24"/>
          <w:szCs w:val="24"/>
        </w:rPr>
        <w:t>DI PIERRO, Maria Clara.</w:t>
      </w:r>
      <w:r w:rsidRPr="007F437A">
        <w:rPr>
          <w:rFonts w:asciiTheme="minorHAnsi" w:hAnsiTheme="minorHAnsi" w:cstheme="minorHAnsi"/>
          <w:bCs/>
          <w:sz w:val="24"/>
          <w:szCs w:val="24"/>
        </w:rPr>
        <w:t xml:space="preserve"> A Educação de Jovens e Adultos é uma porta de reingresso no sistema educacional. [Entrevista concedida a] Cátia Guimarães. Rio de Janeiro. EPSJV/Fiocruz, 14 </w:t>
      </w:r>
      <w:proofErr w:type="spellStart"/>
      <w:r w:rsidRPr="007F437A">
        <w:rPr>
          <w:rFonts w:asciiTheme="minorHAnsi" w:hAnsiTheme="minorHAnsi" w:cstheme="minorHAnsi"/>
          <w:bCs/>
          <w:sz w:val="24"/>
          <w:szCs w:val="24"/>
        </w:rPr>
        <w:t>jan</w:t>
      </w:r>
      <w:proofErr w:type="spellEnd"/>
      <w:r w:rsidRPr="007F437A">
        <w:rPr>
          <w:rFonts w:asciiTheme="minorHAnsi" w:hAnsiTheme="minorHAnsi" w:cstheme="minorHAnsi"/>
          <w:bCs/>
          <w:sz w:val="24"/>
          <w:szCs w:val="24"/>
        </w:rPr>
        <w:t xml:space="preserve">, 2022. Disponível em: </w:t>
      </w:r>
      <w:hyperlink r:id="rId9" w:history="1">
        <w:r w:rsidRPr="0089025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https://www.epsjv.fiocruz.br/noticias/entrevista/a-educacao-de-jovens-e-adultos-e-uma-porta-de-reingresso-no-sistema-educacional</w:t>
        </w:r>
      </w:hyperlink>
      <w:r w:rsidRPr="007F437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4942F94" w14:textId="660360E3" w:rsidR="007F437A" w:rsidRPr="007F437A" w:rsidRDefault="007F437A" w:rsidP="007F437A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37A">
        <w:rPr>
          <w:rFonts w:asciiTheme="minorHAnsi" w:hAnsiTheme="minorHAnsi" w:cstheme="minorHAnsi"/>
          <w:b/>
          <w:bCs/>
          <w:sz w:val="24"/>
          <w:szCs w:val="24"/>
        </w:rPr>
        <w:t>MORAES, C. S.</w:t>
      </w:r>
      <w:r w:rsidRPr="007F437A">
        <w:rPr>
          <w:rFonts w:asciiTheme="minorHAnsi" w:hAnsiTheme="minorHAnsi" w:cstheme="minorHAnsi"/>
          <w:bCs/>
          <w:sz w:val="24"/>
          <w:szCs w:val="24"/>
        </w:rPr>
        <w:t xml:space="preserve"> Educação de jovens e adultos trabalhadores de qualidade: regime de colaboração e Sistema Nacional de Educação. Educação &amp; Sociedade, vol. 34, núm. 124, julho-setembro, 2013, pp. 979-1001. Disponível em: </w:t>
      </w:r>
      <w:hyperlink r:id="rId10" w:history="1">
        <w:r w:rsidRPr="0089025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https://www.redalyc.org/pdf/873/87328534017.pdf</w:t>
        </w:r>
      </w:hyperlink>
      <w:r w:rsidRPr="007F437A">
        <w:rPr>
          <w:rFonts w:asciiTheme="minorHAnsi" w:hAnsiTheme="minorHAnsi" w:cstheme="minorHAnsi"/>
          <w:bCs/>
          <w:sz w:val="24"/>
          <w:szCs w:val="24"/>
        </w:rPr>
        <w:t>.</w:t>
      </w:r>
    </w:p>
    <w:p w14:paraId="0A258434" w14:textId="522FD975" w:rsidR="00FC5EEE" w:rsidRDefault="007F437A" w:rsidP="007F437A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37A">
        <w:rPr>
          <w:rFonts w:asciiTheme="minorHAnsi" w:hAnsiTheme="minorHAnsi" w:cstheme="minorHAnsi"/>
          <w:b/>
          <w:bCs/>
          <w:sz w:val="24"/>
          <w:szCs w:val="24"/>
        </w:rPr>
        <w:t>FREIRE, P.</w:t>
      </w:r>
      <w:r w:rsidRPr="007F437A">
        <w:rPr>
          <w:rFonts w:asciiTheme="minorHAnsi" w:hAnsiTheme="minorHAnsi" w:cstheme="minorHAnsi"/>
          <w:bCs/>
          <w:sz w:val="24"/>
          <w:szCs w:val="24"/>
        </w:rPr>
        <w:t xml:space="preserve"> Pedagogia do Oprimido. Rio de Janeiro: Paz e Terra, 1979.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E874" w14:textId="77777777" w:rsidR="00BF3CAF" w:rsidRDefault="00BF3CAF" w:rsidP="004254E3">
      <w:pPr>
        <w:spacing w:after="0" w:line="240" w:lineRule="auto"/>
      </w:pPr>
      <w:r>
        <w:separator/>
      </w:r>
    </w:p>
  </w:endnote>
  <w:endnote w:type="continuationSeparator" w:id="0">
    <w:p w14:paraId="089D73D6" w14:textId="77777777" w:rsidR="00BF3CAF" w:rsidRDefault="00BF3CA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1E79" w14:textId="77777777" w:rsidR="00BF3CAF" w:rsidRDefault="00BF3CAF" w:rsidP="004254E3">
      <w:pPr>
        <w:spacing w:after="0" w:line="240" w:lineRule="auto"/>
      </w:pPr>
      <w:r>
        <w:separator/>
      </w:r>
    </w:p>
  </w:footnote>
  <w:footnote w:type="continuationSeparator" w:id="0">
    <w:p w14:paraId="1F7C5CD9" w14:textId="77777777" w:rsidR="00BF3CAF" w:rsidRDefault="00BF3CA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40ED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DE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7F437A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3CAF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2BA4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C5EEE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dalyc.org/pdf/873/87328534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sjv.fiocruz.br/noticias/entrevista/a-educacao-de-jovens-e-adultos-e-uma-porta-de-reingresso-no-sistema-educacion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A77B-1304-4D20-9205-ED1A346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10</cp:revision>
  <cp:lastPrinted>2023-03-31T20:36:00Z</cp:lastPrinted>
  <dcterms:created xsi:type="dcterms:W3CDTF">2023-03-31T20:41:00Z</dcterms:created>
  <dcterms:modified xsi:type="dcterms:W3CDTF">2023-10-25T20:18:00Z</dcterms:modified>
</cp:coreProperties>
</file>